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AD0A" w14:textId="6C8F6998" w:rsidR="000034F7" w:rsidRDefault="00200587" w:rsidP="00BB399D">
      <w:pPr>
        <w:spacing w:after="0" w:line="259" w:lineRule="auto"/>
        <w:ind w:left="360" w:right="0" w:firstLine="0"/>
      </w:pPr>
      <w:r>
        <w:rPr>
          <w:sz w:val="22"/>
        </w:rPr>
        <w:t xml:space="preserve"> </w:t>
      </w:r>
      <w:r>
        <w:rPr>
          <w:rFonts w:ascii="Calibri" w:eastAsia="Calibri" w:hAnsi="Calibri" w:cs="Calibri"/>
          <w:noProof/>
          <w:sz w:val="22"/>
        </w:rPr>
        <mc:AlternateContent>
          <mc:Choice Requires="wpg">
            <w:drawing>
              <wp:inline distT="0" distB="0" distL="0" distR="0" wp14:anchorId="4162434D" wp14:editId="71BCB1F8">
                <wp:extent cx="5938342" cy="18288"/>
                <wp:effectExtent l="0" t="0" r="0" b="0"/>
                <wp:docPr id="6761" name="Group 6761"/>
                <wp:cNvGraphicFramePr/>
                <a:graphic xmlns:a="http://schemas.openxmlformats.org/drawingml/2006/main">
                  <a:graphicData uri="http://schemas.microsoft.com/office/word/2010/wordprocessingGroup">
                    <wpg:wgp>
                      <wpg:cNvGrpSpPr/>
                      <wpg:grpSpPr>
                        <a:xfrm>
                          <a:off x="0" y="0"/>
                          <a:ext cx="5938342" cy="18288"/>
                          <a:chOff x="0" y="0"/>
                          <a:chExt cx="5938342" cy="18288"/>
                        </a:xfrm>
                      </wpg:grpSpPr>
                      <wps:wsp>
                        <wps:cNvPr id="8631" name="Shape 8631"/>
                        <wps:cNvSpPr/>
                        <wps:spPr>
                          <a:xfrm>
                            <a:off x="0" y="0"/>
                            <a:ext cx="1978406" cy="18288"/>
                          </a:xfrm>
                          <a:custGeom>
                            <a:avLst/>
                            <a:gdLst/>
                            <a:ahLst/>
                            <a:cxnLst/>
                            <a:rect l="0" t="0" r="0" b="0"/>
                            <a:pathLst>
                              <a:path w="1978406" h="18288">
                                <a:moveTo>
                                  <a:pt x="0" y="0"/>
                                </a:moveTo>
                                <a:lnTo>
                                  <a:pt x="1978406" y="0"/>
                                </a:lnTo>
                                <a:lnTo>
                                  <a:pt x="1978406"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632" name="Shape 8632"/>
                        <wps:cNvSpPr/>
                        <wps:spPr>
                          <a:xfrm>
                            <a:off x="19784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633" name="Shape 8633"/>
                        <wps:cNvSpPr/>
                        <wps:spPr>
                          <a:xfrm>
                            <a:off x="1996770" y="0"/>
                            <a:ext cx="1961642" cy="18288"/>
                          </a:xfrm>
                          <a:custGeom>
                            <a:avLst/>
                            <a:gdLst/>
                            <a:ahLst/>
                            <a:cxnLst/>
                            <a:rect l="0" t="0" r="0" b="0"/>
                            <a:pathLst>
                              <a:path w="1961642" h="18288">
                                <a:moveTo>
                                  <a:pt x="0" y="0"/>
                                </a:moveTo>
                                <a:lnTo>
                                  <a:pt x="1961642" y="0"/>
                                </a:lnTo>
                                <a:lnTo>
                                  <a:pt x="1961642"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634" name="Shape 8634"/>
                        <wps:cNvSpPr/>
                        <wps:spPr>
                          <a:xfrm>
                            <a:off x="39584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635" name="Shape 8635"/>
                        <wps:cNvSpPr/>
                        <wps:spPr>
                          <a:xfrm>
                            <a:off x="3976700" y="0"/>
                            <a:ext cx="1961642" cy="18288"/>
                          </a:xfrm>
                          <a:custGeom>
                            <a:avLst/>
                            <a:gdLst/>
                            <a:ahLst/>
                            <a:cxnLst/>
                            <a:rect l="0" t="0" r="0" b="0"/>
                            <a:pathLst>
                              <a:path w="1961642" h="18288">
                                <a:moveTo>
                                  <a:pt x="0" y="0"/>
                                </a:moveTo>
                                <a:lnTo>
                                  <a:pt x="1961642" y="0"/>
                                </a:lnTo>
                                <a:lnTo>
                                  <a:pt x="1961642"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inline>
            </w:drawing>
          </mc:Choice>
          <mc:Fallback>
            <w:pict>
              <v:group w14:anchorId="03DA1848" id="Group 6761" o:spid="_x0000_s1026" style="width:467.6pt;height:1.45pt;mso-position-horizontal-relative:char;mso-position-vertical-relative:line" coordsize="593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">
                <v:shape id="Shape 8631" o:spid="_x0000_s1027" style="position:absolute;width:19784;height:182;visibility:visible;mso-wrap-style:square;v-text-anchor:top" coordsize="19784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" path="m,l1978406,r,18288l,18288,,e" fillcolor="#a5a5a5" stroked="f" strokeweight="0">
                  <v:stroke miterlimit="83231f" joinstyle="miter"/>
                  <v:path arrowok="t" textboxrect="0,0,1978406,18288"/>
                </v:shape>
                <v:shape id="Shape 8632" o:spid="_x0000_s1028" style="position:absolute;left:19784;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" path="m,l18288,r,18288l,18288,,e" fillcolor="#a5a5a5" stroked="f" strokeweight="0">
                  <v:stroke miterlimit="83231f" joinstyle="miter"/>
                  <v:path arrowok="t" textboxrect="0,0,18288,18288"/>
                </v:shape>
                <v:shape id="Shape 8633" o:spid="_x0000_s1029" style="position:absolute;left:19967;width:19617;height:182;visibility:visible;mso-wrap-style:square;v-text-anchor:top" coordsize="196164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" path="m,l1961642,r,18288l,18288,,e" fillcolor="#a5a5a5" stroked="f" strokeweight="0">
                  <v:stroke miterlimit="83231f" joinstyle="miter"/>
                  <v:path arrowok="t" textboxrect="0,0,1961642,18288"/>
                </v:shape>
                <v:shape id="Shape 8634" o:spid="_x0000_s1030" style="position:absolute;left:39584;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" path="m,l18288,r,18288l,18288,,e" fillcolor="#a5a5a5" stroked="f" strokeweight="0">
                  <v:stroke miterlimit="83231f" joinstyle="miter"/>
                  <v:path arrowok="t" textboxrect="0,0,18288,18288"/>
                </v:shape>
                <v:shape id="Shape 8635" o:spid="_x0000_s1031" style="position:absolute;left:39767;width:19616;height:182;visibility:visible;mso-wrap-style:square;v-text-anchor:top" coordsize="196164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" path="m,l1961642,r,18288l,18288,,e" fillcolor="#a5a5a5" stroked="f" strokeweight="0">
                  <v:stroke miterlimit="83231f" joinstyle="miter"/>
                  <v:path arrowok="t" textboxrect="0,0,1961642,18288"/>
                </v:shape>
                <w10:anchorlock/>
              </v:group>
            </w:pict>
          </mc:Fallback>
        </mc:AlternateContent>
      </w:r>
    </w:p>
    <w:tbl>
      <w:tblPr>
        <w:tblStyle w:val="TableGrid"/>
        <w:tblW w:w="9419" w:type="dxa"/>
        <w:tblInd w:w="332" w:type="dxa"/>
        <w:tblCellMar>
          <w:right w:w="115" w:type="dxa"/>
        </w:tblCellMar>
        <w:tblLook w:val="04A0" w:firstRow="1" w:lastRow="0" w:firstColumn="1" w:lastColumn="0" w:noHBand="0" w:noVBand="1"/>
      </w:tblPr>
      <w:tblGrid>
        <w:gridCol w:w="4586"/>
        <w:gridCol w:w="2291"/>
        <w:gridCol w:w="2542"/>
      </w:tblGrid>
      <w:tr w:rsidR="00131CA8" w14:paraId="240B453A" w14:textId="77777777" w:rsidTr="00131CA8">
        <w:trPr>
          <w:trHeight w:hRule="exact" w:val="20"/>
        </w:trPr>
        <w:tc>
          <w:tcPr>
            <w:tcW w:w="3253" w:type="dxa"/>
            <w:tcBorders>
              <w:top w:val="nil"/>
              <w:left w:val="nil"/>
              <w:bottom w:val="nil"/>
              <w:right w:val="nil"/>
            </w:tcBorders>
          </w:tcPr>
          <w:p w14:paraId="710C57A6" w14:textId="77777777" w:rsidR="00131CA8" w:rsidRDefault="00131CA8" w:rsidP="00E07FE0">
            <w:pPr>
              <w:spacing w:after="0" w:line="259" w:lineRule="auto"/>
              <w:ind w:left="137" w:right="0" w:firstLine="0"/>
            </w:pPr>
            <w:bookmarkStart w:id="0" w:name="_422efa4b_9ec4_484c_b1fb_0273a0ad660d"/>
            <w:bookmarkStart w:id="1" w:name="_945da721_9942_49e6_8da6_760e4949dea6"/>
            <w:bookmarkEnd w:id="0"/>
            <w:r>
              <w:rPr>
                <w:sz w:val="22"/>
              </w:rPr>
              <w:t xml:space="preserve"> </w:t>
            </w:r>
          </w:p>
          <w:p w14:paraId="018B68EE" w14:textId="77777777" w:rsidR="00131CA8" w:rsidRDefault="00131CA8" w:rsidP="00E07FE0">
            <w:pPr>
              <w:spacing w:after="0" w:line="259" w:lineRule="auto"/>
              <w:ind w:left="137" w:right="0" w:firstLine="0"/>
              <w:rPr>
                <w:sz w:val="22"/>
              </w:rPr>
            </w:pPr>
          </w:p>
          <w:p w14:paraId="5C451C0B" w14:textId="77777777" w:rsidR="00131CA8" w:rsidRDefault="00131CA8" w:rsidP="00E07FE0">
            <w:pPr>
              <w:spacing w:after="0" w:line="259" w:lineRule="auto"/>
              <w:ind w:left="137" w:right="0" w:firstLine="0"/>
            </w:pPr>
          </w:p>
          <w:p w14:paraId="6251CAEE" w14:textId="77777777" w:rsidR="00131CA8" w:rsidRPr="00BB0D47" w:rsidRDefault="00131CA8" w:rsidP="00E07FE0">
            <w:pPr>
              <w:spacing w:after="0" w:line="259" w:lineRule="auto"/>
              <w:ind w:left="137" w:right="0" w:firstLine="0"/>
              <w:rPr>
                <w:color w:val="7A0019"/>
                <w:sz w:val="22"/>
              </w:rPr>
            </w:pPr>
          </w:p>
          <w:p w14:paraId="76E2F834" w14:textId="77777777" w:rsidR="00131CA8" w:rsidRPr="00BB399D" w:rsidRDefault="00131CA8" w:rsidP="00E07FE0">
            <w:pPr>
              <w:spacing w:after="0" w:line="259" w:lineRule="auto"/>
              <w:ind w:left="137" w:right="0" w:firstLine="0"/>
              <w:rPr>
                <w:rStyle w:val="Hyperlink"/>
                <w:sz w:val="22"/>
              </w:rPr>
            </w:pPr>
            <w:r>
              <w:rPr>
                <w:color w:val="auto"/>
                <w:sz w:val="22"/>
              </w:rPr>
              <w:t xml:space="preserve"> HYPERLINK "https://www.bentley.edu/offices/information-security-and-data-privacy/bentley-university-pci-dss-policy" </w:t>
            </w:r>
            <w:r w:rsidRPr="00BB399D">
              <w:rPr>
                <w:rStyle w:val="Hyperlink"/>
                <w:sz w:val="22"/>
              </w:rPr>
              <w:t>PCI DSS Policy</w:t>
            </w:r>
          </w:p>
          <w:p w14:paraId="7C58EABB" w14:textId="77777777" w:rsidR="00131CA8" w:rsidRDefault="00131CA8" w:rsidP="00E07FE0">
            <w:pPr>
              <w:spacing w:after="0" w:line="259" w:lineRule="auto"/>
              <w:ind w:left="137" w:right="0" w:firstLine="0"/>
            </w:pPr>
          </w:p>
          <w:p w14:paraId="7A321445" w14:textId="77777777" w:rsidR="00131CA8" w:rsidRDefault="00131CA8" w:rsidP="00E07FE0">
            <w:pPr>
              <w:spacing w:after="0" w:line="259" w:lineRule="auto"/>
              <w:ind w:left="0" w:right="0" w:firstLine="0"/>
            </w:pPr>
          </w:p>
          <w:p w14:paraId="6E40A382" w14:textId="77777777" w:rsidR="00131CA8" w:rsidRDefault="00131CA8">
            <w:pPr>
              <w:rPr>
                <w:sz w:val="2"/>
              </w:rPr>
            </w:pPr>
          </w:p>
        </w:tc>
        <w:tc>
          <w:tcPr>
            <w:tcW w:w="3118" w:type="dxa"/>
            <w:tcBorders>
              <w:top w:val="nil"/>
              <w:left w:val="nil"/>
              <w:bottom w:val="nil"/>
              <w:right w:val="nil"/>
            </w:tcBorders>
          </w:tcPr>
          <w:p w14:paraId="40CDA996" w14:textId="77777777" w:rsidR="00131CA8" w:rsidRDefault="00131CA8" w:rsidP="00E07FE0">
            <w:pPr>
              <w:spacing w:after="0" w:line="259" w:lineRule="auto"/>
              <w:ind w:left="0" w:right="0" w:firstLine="0"/>
            </w:pPr>
            <w:r>
              <w:rPr>
                <w:sz w:val="22"/>
              </w:rPr>
              <w:t xml:space="preserve"> </w:t>
            </w:r>
          </w:p>
          <w:p w14:paraId="2CEFC6F8" w14:textId="77777777" w:rsidR="00131CA8" w:rsidRDefault="00131CA8" w:rsidP="00E07FE0">
            <w:pPr>
              <w:spacing w:after="232" w:line="259" w:lineRule="auto"/>
              <w:ind w:left="0" w:right="0" w:firstLine="0"/>
            </w:pPr>
          </w:p>
          <w:p w14:paraId="05B0EC04" w14:textId="77777777" w:rsidR="00131CA8" w:rsidRDefault="00131CA8" w:rsidP="00E07FE0">
            <w:pPr>
              <w:spacing w:after="0" w:line="259" w:lineRule="auto"/>
              <w:ind w:left="0" w:right="0" w:firstLine="0"/>
            </w:pPr>
          </w:p>
          <w:p w14:paraId="6F5B19B6" w14:textId="77777777" w:rsidR="00131CA8" w:rsidRDefault="00131CA8" w:rsidP="00E07FE0">
            <w:pPr>
              <w:spacing w:after="0" w:line="259" w:lineRule="auto"/>
              <w:ind w:left="0" w:right="0" w:firstLine="0"/>
            </w:pPr>
          </w:p>
          <w:p w14:paraId="14F6472B" w14:textId="77777777" w:rsidR="00131CA8" w:rsidRDefault="00131CA8">
            <w:pPr>
              <w:rPr>
                <w:sz w:val="2"/>
              </w:rPr>
            </w:pPr>
          </w:p>
        </w:tc>
        <w:tc>
          <w:tcPr>
            <w:tcW w:w="3048" w:type="dxa"/>
            <w:tcBorders>
              <w:top w:val="nil"/>
              <w:left w:val="nil"/>
              <w:bottom w:val="nil"/>
              <w:right w:val="nil"/>
            </w:tcBorders>
          </w:tcPr>
          <w:p w14:paraId="4714ED66" w14:textId="77777777" w:rsidR="00131CA8" w:rsidRDefault="00131CA8" w:rsidP="00E07FE0">
            <w:pPr>
              <w:spacing w:after="0" w:line="238" w:lineRule="auto"/>
              <w:ind w:left="0" w:right="705" w:firstLine="0"/>
              <w:rPr>
                <w:sz w:val="22"/>
              </w:rPr>
            </w:pPr>
            <w:r>
              <w:rPr>
                <w:sz w:val="22"/>
              </w:rPr>
              <w:t xml:space="preserve"> </w:t>
            </w:r>
          </w:p>
          <w:p w14:paraId="08E4456A" w14:textId="77777777" w:rsidR="00131CA8" w:rsidRDefault="00131CA8" w:rsidP="00E07FE0">
            <w:pPr>
              <w:spacing w:after="0" w:line="259" w:lineRule="auto"/>
              <w:ind w:left="0" w:right="0" w:firstLine="0"/>
              <w:rPr>
                <w:color w:val="7A0019"/>
                <w:sz w:val="22"/>
              </w:rPr>
            </w:pPr>
          </w:p>
          <w:p w14:paraId="3847A171" w14:textId="77777777" w:rsidR="00131CA8" w:rsidRDefault="00131CA8" w:rsidP="00E07FE0">
            <w:pPr>
              <w:spacing w:after="0" w:line="259" w:lineRule="auto"/>
              <w:ind w:left="0" w:right="0" w:firstLine="0"/>
              <w:rPr>
                <w:color w:val="7A0019"/>
                <w:sz w:val="22"/>
              </w:rPr>
            </w:pPr>
          </w:p>
          <w:p w14:paraId="2F092CCA" w14:textId="77777777" w:rsidR="00131CA8" w:rsidRDefault="00131CA8" w:rsidP="00E07FE0">
            <w:pPr>
              <w:spacing w:after="0" w:line="259" w:lineRule="auto"/>
              <w:ind w:left="0" w:right="0" w:firstLine="0"/>
              <w:rPr>
                <w:sz w:val="22"/>
              </w:rPr>
            </w:pPr>
            <w:r>
              <w:rPr>
                <w:sz w:val="22"/>
              </w:rPr>
              <w:t xml:space="preserve">  </w:t>
            </w:r>
          </w:p>
          <w:p w14:paraId="0E0818D4" w14:textId="77777777" w:rsidR="00131CA8" w:rsidRDefault="00131CA8" w:rsidP="00E07FE0">
            <w:pPr>
              <w:spacing w:after="0" w:line="259" w:lineRule="auto"/>
              <w:ind w:left="0" w:right="0" w:firstLine="0"/>
            </w:pPr>
          </w:p>
          <w:p w14:paraId="67AD2F84" w14:textId="77777777" w:rsidR="00131CA8" w:rsidRDefault="00131CA8" w:rsidP="00E07FE0">
            <w:pPr>
              <w:spacing w:after="0" w:line="259" w:lineRule="auto"/>
              <w:ind w:left="0" w:right="0" w:firstLine="0"/>
            </w:pPr>
          </w:p>
          <w:p w14:paraId="7A04C520" w14:textId="77777777" w:rsidR="00131CA8" w:rsidRDefault="00131CA8">
            <w:pPr>
              <w:rPr>
                <w:sz w:val="2"/>
              </w:rPr>
            </w:pPr>
          </w:p>
        </w:tc>
      </w:tr>
      <w:tr w:rsidR="00131CA8" w14:paraId="0E00560E" w14:textId="77777777" w:rsidTr="00131CA8">
        <w:trPr>
          <w:trHeight w:val="1787"/>
        </w:trPr>
        <w:tc>
          <w:tcPr>
            <w:tcW w:w="3253" w:type="dxa"/>
            <w:tcBorders>
              <w:top w:val="nil"/>
              <w:left w:val="nil"/>
              <w:bottom w:val="single" w:sz="12" w:space="0" w:color="A5A5A5"/>
              <w:right w:val="nil"/>
            </w:tcBorders>
          </w:tcPr>
          <w:p w14:paraId="5F6B8B6C" w14:textId="77777777" w:rsidR="00131CA8" w:rsidRPr="00E24104" w:rsidRDefault="00131CA8" w:rsidP="00E07FE0">
            <w:pPr>
              <w:spacing w:after="0" w:line="259" w:lineRule="auto"/>
              <w:ind w:left="137" w:right="0" w:firstLine="0"/>
              <w:rPr>
                <w:sz w:val="22"/>
              </w:rPr>
            </w:pPr>
          </w:p>
          <w:p w14:paraId="3BD0A7C5" w14:textId="77777777" w:rsidR="00131CA8" w:rsidRPr="00E24104" w:rsidRDefault="00131CA8" w:rsidP="00E07FE0">
            <w:pPr>
              <w:spacing w:after="0" w:line="259" w:lineRule="auto"/>
              <w:ind w:left="137" w:right="0" w:firstLine="0"/>
              <w:rPr>
                <w:sz w:val="22"/>
              </w:rPr>
            </w:pPr>
            <w:r w:rsidRPr="00E24104">
              <w:rPr>
                <w:color w:val="7A0019"/>
                <w:sz w:val="22"/>
              </w:rPr>
              <w:t>Policy Owner</w:t>
            </w:r>
            <w:r w:rsidRPr="00E24104">
              <w:rPr>
                <w:sz w:val="22"/>
              </w:rPr>
              <w:t xml:space="preserve"> </w:t>
            </w:r>
          </w:p>
          <w:p w14:paraId="4EC0FBDE" w14:textId="77777777" w:rsidR="00131CA8" w:rsidRPr="00E24104" w:rsidRDefault="00131CA8" w:rsidP="00E07FE0">
            <w:pPr>
              <w:spacing w:after="0" w:line="259" w:lineRule="auto"/>
              <w:ind w:left="137" w:right="0" w:firstLine="0"/>
              <w:rPr>
                <w:sz w:val="22"/>
              </w:rPr>
            </w:pPr>
            <w:r w:rsidRPr="00E24104">
              <w:rPr>
                <w:sz w:val="22"/>
              </w:rPr>
              <w:t>Finance &amp; Administration</w:t>
            </w:r>
          </w:p>
          <w:p w14:paraId="669F20DC" w14:textId="77777777" w:rsidR="00560BF4" w:rsidRPr="00E24104" w:rsidRDefault="00560BF4" w:rsidP="00E07FE0">
            <w:pPr>
              <w:spacing w:after="0" w:line="259" w:lineRule="auto"/>
              <w:ind w:left="137" w:right="0" w:firstLine="0"/>
              <w:rPr>
                <w:sz w:val="22"/>
              </w:rPr>
            </w:pPr>
          </w:p>
          <w:p w14:paraId="6A5041BD" w14:textId="77777777" w:rsidR="00131CA8" w:rsidRPr="00E24104" w:rsidRDefault="00131CA8" w:rsidP="00E07FE0">
            <w:pPr>
              <w:spacing w:after="0" w:line="259" w:lineRule="auto"/>
              <w:ind w:left="137" w:right="0" w:firstLine="0"/>
              <w:rPr>
                <w:color w:val="7A0019"/>
                <w:sz w:val="22"/>
              </w:rPr>
            </w:pPr>
            <w:r w:rsidRPr="00E24104">
              <w:rPr>
                <w:color w:val="7A0019"/>
                <w:sz w:val="22"/>
              </w:rPr>
              <w:t>Associated Policy:</w:t>
            </w:r>
          </w:p>
          <w:p w14:paraId="23F6E84C" w14:textId="77777777" w:rsidR="00131CA8" w:rsidRPr="00E24104" w:rsidRDefault="00131CA8" w:rsidP="00E07FE0">
            <w:pPr>
              <w:spacing w:after="0" w:line="259" w:lineRule="auto"/>
              <w:ind w:left="137" w:right="0" w:firstLine="0"/>
              <w:rPr>
                <w:rStyle w:val="Hyperlink"/>
                <w:sz w:val="22"/>
              </w:rPr>
            </w:pPr>
            <w:r w:rsidRPr="00E24104">
              <w:rPr>
                <w:color w:val="auto"/>
                <w:sz w:val="22"/>
              </w:rPr>
              <w:fldChar w:fldCharType="begin"/>
            </w:r>
            <w:r w:rsidRPr="00E24104">
              <w:rPr>
                <w:color w:val="auto"/>
                <w:sz w:val="22"/>
              </w:rPr>
              <w:instrText xml:space="preserve"> HYPERLINK "https://www.bentley.edu/offices/information-security-and-data-privacy/bentley-university-pci-dss-policy" </w:instrText>
            </w:r>
            <w:r w:rsidRPr="00E24104">
              <w:rPr>
                <w:color w:val="auto"/>
                <w:sz w:val="22"/>
              </w:rPr>
              <w:fldChar w:fldCharType="separate"/>
            </w:r>
            <w:r w:rsidRPr="00E24104">
              <w:rPr>
                <w:rStyle w:val="Hyperlink"/>
                <w:sz w:val="22"/>
              </w:rPr>
              <w:t>PCI DSS Policy</w:t>
            </w:r>
          </w:p>
          <w:p w14:paraId="523A7005" w14:textId="77777777" w:rsidR="00131CA8" w:rsidRPr="00E24104" w:rsidRDefault="00131CA8" w:rsidP="00E07FE0">
            <w:pPr>
              <w:spacing w:after="0" w:line="259" w:lineRule="auto"/>
              <w:ind w:left="137" w:right="0" w:firstLine="0"/>
              <w:rPr>
                <w:sz w:val="22"/>
              </w:rPr>
            </w:pPr>
            <w:r w:rsidRPr="00E24104">
              <w:rPr>
                <w:color w:val="auto"/>
                <w:sz w:val="22"/>
              </w:rPr>
              <w:fldChar w:fldCharType="end"/>
            </w:r>
          </w:p>
          <w:p w14:paraId="26E84370" w14:textId="77777777" w:rsidR="00131CA8" w:rsidRPr="00E24104" w:rsidRDefault="00131CA8" w:rsidP="00E07FE0">
            <w:pPr>
              <w:spacing w:after="0" w:line="259" w:lineRule="auto"/>
              <w:ind w:left="0" w:right="0" w:firstLine="0"/>
              <w:rPr>
                <w:sz w:val="22"/>
              </w:rPr>
            </w:pPr>
          </w:p>
        </w:tc>
        <w:tc>
          <w:tcPr>
            <w:tcW w:w="3118" w:type="dxa"/>
            <w:tcBorders>
              <w:top w:val="nil"/>
              <w:left w:val="nil"/>
              <w:bottom w:val="single" w:sz="12" w:space="0" w:color="A5A5A5"/>
              <w:right w:val="nil"/>
            </w:tcBorders>
          </w:tcPr>
          <w:p w14:paraId="376FEE70" w14:textId="77777777" w:rsidR="00131CA8" w:rsidRPr="00E24104" w:rsidRDefault="00131CA8" w:rsidP="00E07FE0">
            <w:pPr>
              <w:spacing w:after="0" w:line="259" w:lineRule="auto"/>
              <w:ind w:left="0" w:right="0" w:firstLine="0"/>
              <w:rPr>
                <w:sz w:val="22"/>
              </w:rPr>
            </w:pPr>
            <w:r w:rsidRPr="00E24104">
              <w:rPr>
                <w:color w:val="7A0019"/>
                <w:sz w:val="22"/>
              </w:rPr>
              <w:t xml:space="preserve"> </w:t>
            </w:r>
          </w:p>
          <w:p w14:paraId="5C1B14DB" w14:textId="77777777" w:rsidR="00131CA8" w:rsidRPr="00E24104" w:rsidRDefault="00131CA8" w:rsidP="00E07FE0">
            <w:pPr>
              <w:spacing w:after="0" w:line="259" w:lineRule="auto"/>
              <w:ind w:left="0" w:right="0" w:firstLine="0"/>
              <w:rPr>
                <w:sz w:val="22"/>
              </w:rPr>
            </w:pPr>
            <w:r w:rsidRPr="00E24104">
              <w:rPr>
                <w:color w:val="7A0019"/>
                <w:sz w:val="22"/>
              </w:rPr>
              <w:t>Policy Contact</w:t>
            </w:r>
            <w:r w:rsidRPr="00E24104">
              <w:rPr>
                <w:sz w:val="22"/>
              </w:rPr>
              <w:t xml:space="preserve"> </w:t>
            </w:r>
          </w:p>
          <w:p w14:paraId="15FBEB0E" w14:textId="77777777" w:rsidR="00131CA8" w:rsidRPr="00E24104" w:rsidRDefault="00131CA8" w:rsidP="00E07FE0">
            <w:pPr>
              <w:spacing w:after="232" w:line="259" w:lineRule="auto"/>
              <w:ind w:left="0" w:right="0" w:firstLine="0"/>
              <w:rPr>
                <w:sz w:val="22"/>
              </w:rPr>
            </w:pPr>
            <w:r w:rsidRPr="00E24104">
              <w:rPr>
                <w:sz w:val="22"/>
              </w:rPr>
              <w:t>Cashier</w:t>
            </w:r>
          </w:p>
          <w:p w14:paraId="7C753539" w14:textId="77777777" w:rsidR="00131CA8" w:rsidRPr="00E24104" w:rsidRDefault="00131CA8" w:rsidP="00E07FE0">
            <w:pPr>
              <w:spacing w:after="0" w:line="259" w:lineRule="auto"/>
              <w:ind w:left="0" w:right="0" w:firstLine="0"/>
              <w:rPr>
                <w:sz w:val="22"/>
              </w:rPr>
            </w:pPr>
            <w:r w:rsidRPr="00E24104">
              <w:rPr>
                <w:sz w:val="22"/>
              </w:rPr>
              <w:t xml:space="preserve"> </w:t>
            </w:r>
          </w:p>
          <w:p w14:paraId="3787D44D" w14:textId="77777777" w:rsidR="00131CA8" w:rsidRPr="00E24104" w:rsidRDefault="00131CA8" w:rsidP="00E24104">
            <w:pPr>
              <w:spacing w:after="232" w:line="259" w:lineRule="auto"/>
              <w:ind w:left="0" w:right="0" w:firstLine="0"/>
              <w:rPr>
                <w:sz w:val="22"/>
              </w:rPr>
            </w:pPr>
            <w:r w:rsidRPr="00E24104">
              <w:rPr>
                <w:sz w:val="22"/>
              </w:rPr>
              <w:t xml:space="preserve"> </w:t>
            </w:r>
          </w:p>
        </w:tc>
        <w:tc>
          <w:tcPr>
            <w:tcW w:w="3048" w:type="dxa"/>
            <w:tcBorders>
              <w:top w:val="nil"/>
              <w:left w:val="nil"/>
              <w:bottom w:val="single" w:sz="12" w:space="0" w:color="A5A5A5"/>
              <w:right w:val="nil"/>
            </w:tcBorders>
          </w:tcPr>
          <w:p w14:paraId="70E86CE7" w14:textId="77777777" w:rsidR="00131CA8" w:rsidRPr="00E24104" w:rsidRDefault="00131CA8" w:rsidP="00E07FE0">
            <w:pPr>
              <w:spacing w:after="0" w:line="259" w:lineRule="auto"/>
              <w:ind w:left="0" w:right="0" w:firstLine="0"/>
              <w:rPr>
                <w:sz w:val="22"/>
              </w:rPr>
            </w:pPr>
            <w:r w:rsidRPr="00E24104">
              <w:rPr>
                <w:color w:val="7A0019"/>
                <w:sz w:val="22"/>
              </w:rPr>
              <w:t xml:space="preserve"> </w:t>
            </w:r>
          </w:p>
          <w:p w14:paraId="1FA6DF71" w14:textId="77777777" w:rsidR="00131CA8" w:rsidRPr="00E24104" w:rsidRDefault="00131CA8" w:rsidP="00E07FE0">
            <w:pPr>
              <w:spacing w:after="0" w:line="238" w:lineRule="auto"/>
              <w:ind w:left="0" w:right="705" w:firstLine="0"/>
              <w:rPr>
                <w:sz w:val="22"/>
              </w:rPr>
            </w:pPr>
            <w:r w:rsidRPr="00E24104">
              <w:rPr>
                <w:color w:val="7A0019"/>
                <w:sz w:val="22"/>
              </w:rPr>
              <w:t>Date Revised:</w:t>
            </w:r>
            <w:r w:rsidRPr="00E24104">
              <w:rPr>
                <w:sz w:val="22"/>
              </w:rPr>
              <w:t xml:space="preserve"> </w:t>
            </w:r>
          </w:p>
          <w:p w14:paraId="5FD6BFE6" w14:textId="78C8C626" w:rsidR="00131CA8" w:rsidRPr="00E24104" w:rsidRDefault="00560BF4" w:rsidP="00E24104">
            <w:pPr>
              <w:spacing w:after="232" w:line="259" w:lineRule="auto"/>
              <w:ind w:left="0" w:right="0" w:firstLine="0"/>
              <w:rPr>
                <w:sz w:val="22"/>
              </w:rPr>
            </w:pPr>
            <w:r w:rsidRPr="00E24104">
              <w:rPr>
                <w:sz w:val="22"/>
              </w:rPr>
              <w:t>6/1/2022</w:t>
            </w:r>
          </w:p>
          <w:p w14:paraId="511BC862" w14:textId="77777777" w:rsidR="00131CA8" w:rsidRPr="00E24104" w:rsidRDefault="00131CA8" w:rsidP="00E07FE0">
            <w:pPr>
              <w:spacing w:after="0" w:line="259" w:lineRule="auto"/>
              <w:ind w:left="0" w:right="0" w:firstLine="0"/>
              <w:rPr>
                <w:sz w:val="22"/>
              </w:rPr>
            </w:pPr>
            <w:r w:rsidRPr="00E24104">
              <w:rPr>
                <w:color w:val="7A0019"/>
                <w:sz w:val="22"/>
              </w:rPr>
              <w:t>Effective Date:</w:t>
            </w:r>
            <w:r w:rsidRPr="00E24104">
              <w:rPr>
                <w:sz w:val="22"/>
              </w:rPr>
              <w:t xml:space="preserve">  </w:t>
            </w:r>
          </w:p>
          <w:p w14:paraId="31E3369D" w14:textId="4B409C69" w:rsidR="00131CA8" w:rsidRPr="00E24104" w:rsidRDefault="00560BF4" w:rsidP="00E07FE0">
            <w:pPr>
              <w:spacing w:after="0" w:line="259" w:lineRule="auto"/>
              <w:ind w:left="0" w:right="0" w:firstLine="0"/>
              <w:rPr>
                <w:sz w:val="22"/>
              </w:rPr>
            </w:pPr>
            <w:r w:rsidRPr="00E24104">
              <w:rPr>
                <w:sz w:val="22"/>
              </w:rPr>
              <w:t>6/1/2022</w:t>
            </w:r>
          </w:p>
          <w:p w14:paraId="74B2E4CC" w14:textId="77777777" w:rsidR="00131CA8" w:rsidRPr="00E24104" w:rsidRDefault="00131CA8" w:rsidP="00E07FE0">
            <w:pPr>
              <w:spacing w:after="0" w:line="259" w:lineRule="auto"/>
              <w:ind w:left="0" w:right="0" w:firstLine="0"/>
              <w:rPr>
                <w:sz w:val="22"/>
              </w:rPr>
            </w:pPr>
          </w:p>
        </w:tc>
      </w:tr>
      <w:tr w:rsidR="00131CA8" w14:paraId="287C0CDF" w14:textId="77777777" w:rsidTr="00131CA8">
        <w:trPr>
          <w:trHeight w:val="443"/>
        </w:trPr>
        <w:tc>
          <w:tcPr>
            <w:tcW w:w="9419" w:type="dxa"/>
            <w:gridSpan w:val="3"/>
            <w:tcBorders>
              <w:top w:val="single" w:sz="12" w:space="0" w:color="A5A5A5"/>
              <w:left w:val="nil"/>
              <w:bottom w:val="nil"/>
              <w:right w:val="nil"/>
            </w:tcBorders>
            <w:shd w:val="clear" w:color="auto" w:fill="FFFFFF"/>
          </w:tcPr>
          <w:p w14:paraId="3DF218F3" w14:textId="77777777" w:rsidR="00131CA8" w:rsidRDefault="00131CA8" w:rsidP="00E07FE0">
            <w:pPr>
              <w:spacing w:after="0" w:line="259" w:lineRule="auto"/>
              <w:ind w:left="29" w:right="0" w:firstLine="0"/>
            </w:pPr>
          </w:p>
          <w:p w14:paraId="0BB3EF28" w14:textId="77777777" w:rsidR="00131CA8" w:rsidRDefault="00131CA8" w:rsidP="00E07FE0">
            <w:pPr>
              <w:pStyle w:val="Heading1"/>
              <w:spacing w:after="180"/>
              <w:ind w:left="30"/>
              <w:outlineLvl w:val="0"/>
            </w:pPr>
            <w:r>
              <w:t xml:space="preserve">Policy Statement </w:t>
            </w:r>
          </w:p>
          <w:p w14:paraId="10EA92F2" w14:textId="4AF934B6" w:rsidR="00131CA8" w:rsidRPr="00DB0653" w:rsidRDefault="00131CA8" w:rsidP="00E07FE0">
            <w:pPr>
              <w:pStyle w:val="Heading1"/>
              <w:spacing w:after="180"/>
              <w:ind w:left="30"/>
              <w:outlineLvl w:val="0"/>
              <w:rPr>
                <w:color w:val="000000"/>
                <w:sz w:val="27"/>
              </w:rPr>
            </w:pPr>
            <w:r w:rsidRPr="00DB0653">
              <w:rPr>
                <w:color w:val="000000"/>
                <w:sz w:val="27"/>
              </w:rPr>
              <w:t>All acceptance of payments via payment cards, including e</w:t>
            </w:r>
            <w:r>
              <w:rPr>
                <w:color w:val="000000"/>
                <w:sz w:val="27"/>
              </w:rPr>
              <w:t>-</w:t>
            </w:r>
            <w:r w:rsidRPr="00DB0653">
              <w:rPr>
                <w:color w:val="000000"/>
                <w:sz w:val="27"/>
              </w:rPr>
              <w:t xml:space="preserve">commerce, on behalf of the University requires the prior approval of </w:t>
            </w:r>
            <w:r w:rsidR="00373724">
              <w:rPr>
                <w:color w:val="000000"/>
                <w:sz w:val="27"/>
              </w:rPr>
              <w:t>the Controller</w:t>
            </w:r>
            <w:r w:rsidRPr="00DB0653">
              <w:rPr>
                <w:color w:val="000000"/>
                <w:sz w:val="27"/>
              </w:rPr>
              <w:t xml:space="preserve"> and must comply with current PCI</w:t>
            </w:r>
            <w:r>
              <w:rPr>
                <w:color w:val="000000"/>
                <w:sz w:val="27"/>
              </w:rPr>
              <w:t xml:space="preserve"> </w:t>
            </w:r>
            <w:r w:rsidRPr="00DB0653">
              <w:rPr>
                <w:color w:val="000000"/>
                <w:sz w:val="27"/>
              </w:rPr>
              <w:t xml:space="preserve">DSS, as well as with all applicable legal, regulatory and University policy requirements, in order to protect cardholder data and to protect the University from risk. No department, organization, employee, contractor or agent is authorized to process Internet-based payment transactions, credit or debit card payments or electronic funds transfers without prior approval from </w:t>
            </w:r>
            <w:r w:rsidR="00373724">
              <w:rPr>
                <w:color w:val="000000"/>
                <w:sz w:val="27"/>
              </w:rPr>
              <w:t>the Controller</w:t>
            </w:r>
            <w:r w:rsidRPr="00DB0653">
              <w:rPr>
                <w:color w:val="000000"/>
                <w:sz w:val="27"/>
              </w:rPr>
              <w:t>.</w:t>
            </w:r>
          </w:p>
          <w:p w14:paraId="12141759" w14:textId="77777777" w:rsidR="00131CA8" w:rsidRDefault="00131CA8" w:rsidP="00E07FE0">
            <w:pPr>
              <w:pStyle w:val="Heading1"/>
              <w:spacing w:after="180"/>
              <w:ind w:left="30"/>
              <w:outlineLvl w:val="0"/>
              <w:rPr>
                <w:color w:val="000000"/>
                <w:sz w:val="27"/>
              </w:rPr>
            </w:pPr>
            <w:r w:rsidRPr="00DB0653">
              <w:rPr>
                <w:color w:val="000000"/>
                <w:sz w:val="27"/>
              </w:rPr>
              <w:t xml:space="preserve">The University’s policy is to outsource all processing of payment card transactions to a </w:t>
            </w:r>
            <w:proofErr w:type="gramStart"/>
            <w:r w:rsidRPr="00DB0653">
              <w:rPr>
                <w:color w:val="000000"/>
                <w:sz w:val="27"/>
              </w:rPr>
              <w:t>University</w:t>
            </w:r>
            <w:proofErr w:type="gramEnd"/>
            <w:r w:rsidRPr="00DB0653">
              <w:rPr>
                <w:color w:val="000000"/>
                <w:sz w:val="27"/>
              </w:rPr>
              <w:t>-approved PCI-compliant Third Party Processor</w:t>
            </w:r>
            <w:r>
              <w:rPr>
                <w:color w:val="000000"/>
                <w:sz w:val="27"/>
              </w:rPr>
              <w:t xml:space="preserve"> to the extent possible</w:t>
            </w:r>
            <w:r w:rsidRPr="00DB0653">
              <w:rPr>
                <w:color w:val="000000"/>
                <w:sz w:val="27"/>
              </w:rPr>
              <w:t xml:space="preserve">. The University does not capture, store or transmit cardholder data electronically on any network-connected computer or device. Departments may store only the last </w:t>
            </w:r>
            <w:r>
              <w:rPr>
                <w:color w:val="000000"/>
                <w:sz w:val="27"/>
              </w:rPr>
              <w:t xml:space="preserve">four </w:t>
            </w:r>
            <w:r w:rsidRPr="00DB0653">
              <w:rPr>
                <w:color w:val="000000"/>
                <w:sz w:val="27"/>
              </w:rPr>
              <w:t>digits of a card number.</w:t>
            </w:r>
          </w:p>
          <w:p w14:paraId="27D0651C" w14:textId="77777777" w:rsidR="00131CA8" w:rsidRPr="00F007F0" w:rsidRDefault="00131CA8" w:rsidP="00E07FE0"/>
          <w:p w14:paraId="00C3AA5C" w14:textId="77777777" w:rsidR="00131CA8" w:rsidRDefault="00131CA8" w:rsidP="00E07FE0">
            <w:pPr>
              <w:pStyle w:val="Heading1"/>
              <w:spacing w:after="180"/>
              <w:ind w:left="30"/>
              <w:outlineLvl w:val="0"/>
            </w:pPr>
            <w:r>
              <w:t xml:space="preserve">Reason for Policy </w:t>
            </w:r>
          </w:p>
          <w:p w14:paraId="6D6B2DF6" w14:textId="77777777" w:rsidR="00131CA8" w:rsidRDefault="00131CA8" w:rsidP="00E07FE0">
            <w:pPr>
              <w:ind w:left="30"/>
              <w:rPr>
                <w:color w:val="232323"/>
                <w:shd w:val="clear" w:color="auto" w:fill="FFFFFF"/>
              </w:rPr>
            </w:pPr>
            <w:r>
              <w:rPr>
                <w:color w:val="232323"/>
                <w:shd w:val="clear" w:color="auto" w:fill="FFFFFF"/>
              </w:rPr>
              <w:t xml:space="preserve">Cardholder data is high-risk confidential information that is protected by state and federal law and the University has a legal obligation to protect it. The major payment card companies (MasterCard, Visa, Discover, American Express and JCB) require all merchants to follow Payment Card Industry Data Security Standards (“PCIDSS”) designed to prevent cardholder fraud and identity theft. </w:t>
            </w:r>
          </w:p>
          <w:p w14:paraId="43CF2C75" w14:textId="77777777" w:rsidR="00131CA8" w:rsidRDefault="00131CA8" w:rsidP="00E07FE0">
            <w:pPr>
              <w:ind w:left="30"/>
              <w:rPr>
                <w:color w:val="232323"/>
                <w:shd w:val="clear" w:color="auto" w:fill="FFFFFF"/>
              </w:rPr>
            </w:pPr>
          </w:p>
          <w:p w14:paraId="7DE94DB5" w14:textId="77777777" w:rsidR="00131CA8" w:rsidRDefault="00131CA8" w:rsidP="00E07FE0">
            <w:pPr>
              <w:ind w:left="30"/>
              <w:rPr>
                <w:color w:val="232323"/>
                <w:shd w:val="clear" w:color="auto" w:fill="FFFFFF"/>
              </w:rPr>
            </w:pPr>
            <w:r w:rsidRPr="006D30E2">
              <w:rPr>
                <w:color w:val="232323"/>
                <w:shd w:val="clear" w:color="auto" w:fill="FFFFFF"/>
              </w:rPr>
              <w:t xml:space="preserve">In addition to PCIDSS, credit and debit card account numbers are subject to regulation under M.G.L. 93 H, 93 I and 201 CMR 17.00 (the “Massachusetts Data Privacy Laws and Regulations”) and are considered Sensitive Personal Information (SPI). </w:t>
            </w:r>
          </w:p>
          <w:p w14:paraId="7A570459" w14:textId="77777777" w:rsidR="00131CA8" w:rsidRDefault="00131CA8" w:rsidP="00E07FE0">
            <w:pPr>
              <w:ind w:left="30"/>
              <w:rPr>
                <w:color w:val="232323"/>
                <w:shd w:val="clear" w:color="auto" w:fill="FFFFFF"/>
              </w:rPr>
            </w:pPr>
          </w:p>
          <w:p w14:paraId="774EC43D" w14:textId="77777777" w:rsidR="00131CA8" w:rsidRDefault="00131CA8" w:rsidP="00E07FE0">
            <w:pPr>
              <w:ind w:left="30"/>
              <w:rPr>
                <w:color w:val="232323"/>
                <w:shd w:val="clear" w:color="auto" w:fill="FFFFFF"/>
              </w:rPr>
            </w:pPr>
          </w:p>
          <w:p w14:paraId="23CB4662" w14:textId="77777777" w:rsidR="00131CA8" w:rsidRDefault="00131CA8" w:rsidP="00E07FE0">
            <w:pPr>
              <w:ind w:left="30"/>
            </w:pPr>
            <w:r>
              <w:rPr>
                <w:color w:val="232323"/>
                <w:shd w:val="clear" w:color="auto" w:fill="FFFFFF"/>
              </w:rPr>
              <w:lastRenderedPageBreak/>
              <w:t>The risks of non-compliance by the University include substantial fines and penalties imposed by the card associations, liability for financial losses incurred as a result of a security failure, and damage to the University’s reputation.</w:t>
            </w:r>
          </w:p>
          <w:p w14:paraId="4857D892" w14:textId="77777777" w:rsidR="00131CA8" w:rsidRDefault="00131CA8" w:rsidP="00E07FE0">
            <w:pPr>
              <w:pStyle w:val="Heading1"/>
              <w:spacing w:after="180"/>
              <w:ind w:left="30"/>
              <w:outlineLvl w:val="0"/>
              <w:rPr>
                <w:color w:val="000000"/>
                <w:sz w:val="27"/>
              </w:rPr>
            </w:pPr>
            <w:r w:rsidRPr="00DB0653">
              <w:rPr>
                <w:color w:val="000000"/>
                <w:sz w:val="27"/>
              </w:rPr>
              <w:t xml:space="preserve"> </w:t>
            </w:r>
          </w:p>
          <w:p w14:paraId="6D1C3101" w14:textId="77777777" w:rsidR="00131CA8" w:rsidRDefault="00131CA8" w:rsidP="00E07FE0">
            <w:pPr>
              <w:pStyle w:val="Heading1"/>
              <w:spacing w:after="180"/>
              <w:ind w:left="30"/>
              <w:outlineLvl w:val="0"/>
            </w:pPr>
            <w:r>
              <w:t>This Policy Applies To</w:t>
            </w:r>
          </w:p>
          <w:p w14:paraId="6D90D6A4" w14:textId="77777777" w:rsidR="00131CA8" w:rsidRDefault="00131CA8" w:rsidP="00E07FE0">
            <w:pPr>
              <w:spacing w:after="0" w:line="259" w:lineRule="auto"/>
              <w:ind w:left="29" w:right="0" w:firstLine="0"/>
            </w:pPr>
            <w:r>
              <w:rPr>
                <w:color w:val="232323"/>
                <w:shd w:val="clear" w:color="auto" w:fill="FFFFFF"/>
              </w:rPr>
              <w:t xml:space="preserve">This policy applies to any Bentley department, organization, employee, contractor or agent who, </w:t>
            </w:r>
            <w:proofErr w:type="gramStart"/>
            <w:r>
              <w:rPr>
                <w:color w:val="232323"/>
                <w:shd w:val="clear" w:color="auto" w:fill="FFFFFF"/>
              </w:rPr>
              <w:t>in the course of</w:t>
            </w:r>
            <w:proofErr w:type="gramEnd"/>
            <w:r>
              <w:rPr>
                <w:color w:val="232323"/>
                <w:shd w:val="clear" w:color="auto" w:fill="FFFFFF"/>
              </w:rPr>
              <w:t xml:space="preserve"> doing business on behalf of the University, is involved in the acceptance of payment card and e-commerce payments. Contracts with third parties that accept payment cards on behalf of the University must contain terms consistent with this policy and must be approved in advance by Procurement and Finance &amp; Administration.</w:t>
            </w:r>
          </w:p>
          <w:p w14:paraId="68874557" w14:textId="77777777" w:rsidR="00131CA8" w:rsidRDefault="00131CA8" w:rsidP="00E07FE0">
            <w:pPr>
              <w:spacing w:after="0" w:line="259" w:lineRule="auto"/>
              <w:ind w:left="29" w:right="0" w:firstLine="0"/>
            </w:pPr>
          </w:p>
        </w:tc>
      </w:tr>
      <w:bookmarkEnd w:id="1"/>
    </w:tbl>
    <w:p w14:paraId="3A06A0ED" w14:textId="77777777" w:rsidR="00131CA8" w:rsidRDefault="00131CA8"/>
    <w:p w14:paraId="2884EEE6" w14:textId="3C8FB75A" w:rsidR="000034F7" w:rsidRDefault="00200587" w:rsidP="00D82909">
      <w:pPr>
        <w:pStyle w:val="Heading1"/>
        <w:spacing w:after="180"/>
        <w:ind w:left="355"/>
      </w:pPr>
      <w:r>
        <w:t xml:space="preserve">Procedures </w:t>
      </w:r>
    </w:p>
    <w:p w14:paraId="2F606368" w14:textId="7F219F14" w:rsidR="00BB399D" w:rsidRDefault="00BB399D" w:rsidP="00BB399D">
      <w:pPr>
        <w:ind w:left="360"/>
      </w:pPr>
      <w:r>
        <w:t xml:space="preserve">In the course of doing business at Bentley University, it may be necessary for a department to accept credit cards for payment. The opening of a new merchant account for the purpose of accepting and processing credit cards at the University is done on a case by case basis and coordinated through Finance </w:t>
      </w:r>
      <w:r w:rsidR="006A6BD6">
        <w:t>&amp;</w:t>
      </w:r>
      <w:r>
        <w:t xml:space="preserve"> Administration operations. Any fees associated with the acceptance of the credit cards in a department will be charged to that department.</w:t>
      </w:r>
    </w:p>
    <w:p w14:paraId="2034682A" w14:textId="77777777" w:rsidR="006326C7" w:rsidRDefault="006326C7" w:rsidP="006326C7">
      <w:pPr>
        <w:ind w:left="360"/>
        <w:rPr>
          <w:color w:val="555555"/>
          <w:szCs w:val="27"/>
          <w:shd w:val="clear" w:color="auto" w:fill="FFFFFF"/>
        </w:rPr>
      </w:pPr>
    </w:p>
    <w:p w14:paraId="4BA21945" w14:textId="18D43650" w:rsidR="006326C7" w:rsidRDefault="006326C7" w:rsidP="006326C7">
      <w:pPr>
        <w:ind w:left="360"/>
      </w:pPr>
      <w:r>
        <w:rPr>
          <w:color w:val="555555"/>
          <w:szCs w:val="27"/>
          <w:shd w:val="clear" w:color="auto" w:fill="FFFFFF"/>
        </w:rPr>
        <w:t xml:space="preserve">Any department that seeks to accept credit cards or electronic payments must submit a request form to </w:t>
      </w:r>
      <w:r w:rsidRPr="00E24104">
        <w:rPr>
          <w:color w:val="555555"/>
          <w:szCs w:val="27"/>
          <w:shd w:val="clear" w:color="auto" w:fill="FFFFFF"/>
        </w:rPr>
        <w:t>Cashier Services</w:t>
      </w:r>
      <w:r>
        <w:rPr>
          <w:color w:val="555555"/>
          <w:szCs w:val="27"/>
          <w:shd w:val="clear" w:color="auto" w:fill="FFFFFF"/>
        </w:rPr>
        <w:t xml:space="preserve">. No University unit, department or employee may contact a credit card processor (PayPal, Stripe) and/or social media (Facebook, Twitter) directly to obtain access to credit card privileges for </w:t>
      </w:r>
      <w:proofErr w:type="gramStart"/>
      <w:r>
        <w:rPr>
          <w:color w:val="555555"/>
          <w:szCs w:val="27"/>
          <w:shd w:val="clear" w:color="auto" w:fill="FFFFFF"/>
        </w:rPr>
        <w:t>University</w:t>
      </w:r>
      <w:proofErr w:type="gramEnd"/>
      <w:r>
        <w:rPr>
          <w:color w:val="555555"/>
          <w:szCs w:val="27"/>
          <w:shd w:val="clear" w:color="auto" w:fill="FFFFFF"/>
        </w:rPr>
        <w:t xml:space="preserve"> business needs.  The sale of goods and services to entities outside the university community may raise special considerations (</w:t>
      </w:r>
      <w:proofErr w:type="gramStart"/>
      <w:r>
        <w:rPr>
          <w:color w:val="555555"/>
          <w:szCs w:val="27"/>
          <w:shd w:val="clear" w:color="auto" w:fill="FFFFFF"/>
        </w:rPr>
        <w:t>e.g.</w:t>
      </w:r>
      <w:proofErr w:type="gramEnd"/>
      <w:r>
        <w:rPr>
          <w:color w:val="555555"/>
          <w:szCs w:val="27"/>
          <w:shd w:val="clear" w:color="auto" w:fill="FFFFFF"/>
        </w:rPr>
        <w:t xml:space="preserve"> unrelated business tax, accounting or legal issues, </w:t>
      </w:r>
      <w:proofErr w:type="spellStart"/>
      <w:r>
        <w:rPr>
          <w:color w:val="555555"/>
          <w:szCs w:val="27"/>
          <w:shd w:val="clear" w:color="auto" w:fill="FFFFFF"/>
        </w:rPr>
        <w:t>etc</w:t>
      </w:r>
      <w:proofErr w:type="spellEnd"/>
      <w:r>
        <w:rPr>
          <w:color w:val="555555"/>
          <w:szCs w:val="27"/>
          <w:shd w:val="clear" w:color="auto" w:fill="FFFFFF"/>
        </w:rPr>
        <w:t>). Any new sales should be reviewed by the Controller.</w:t>
      </w:r>
    </w:p>
    <w:p w14:paraId="1FD2564A" w14:textId="77777777" w:rsidR="00BB399D" w:rsidRDefault="00BB399D" w:rsidP="00BB399D">
      <w:pPr>
        <w:ind w:left="360"/>
      </w:pPr>
    </w:p>
    <w:p w14:paraId="63450FA0" w14:textId="0E97F8FC" w:rsidR="00BB399D" w:rsidRDefault="00BB399D" w:rsidP="00BB399D">
      <w:pPr>
        <w:ind w:left="360"/>
      </w:pPr>
      <w:r>
        <w:t>Any department accepting credit cards on behalf of the University must designate an individual within the department who will have primary authority and responsibility within that department for credit card transactions and compliance with all regulations.</w:t>
      </w:r>
    </w:p>
    <w:p w14:paraId="6B75568C" w14:textId="77777777" w:rsidR="00BB399D" w:rsidRDefault="00BB399D" w:rsidP="00BB399D">
      <w:pPr>
        <w:ind w:left="360"/>
      </w:pPr>
    </w:p>
    <w:p w14:paraId="695A0EFC" w14:textId="72DBAC76" w:rsidR="003A05AE" w:rsidRDefault="00BB399D" w:rsidP="00BB399D">
      <w:pPr>
        <w:ind w:left="360"/>
      </w:pPr>
      <w:r>
        <w:t xml:space="preserve">Specific details regarding processing and reconciliation will depend upon the method of credit card acceptance and type of merchant account. Detailed </w:t>
      </w:r>
      <w:r>
        <w:lastRenderedPageBreak/>
        <w:t>instructions will be provided by Finance and Administration operations when a new merchant account is opened.</w:t>
      </w:r>
    </w:p>
    <w:p w14:paraId="5FD27A19" w14:textId="77777777" w:rsidR="000E3621" w:rsidRPr="003A05AE" w:rsidRDefault="000E3621" w:rsidP="00BB399D">
      <w:pPr>
        <w:ind w:left="360"/>
      </w:pPr>
    </w:p>
    <w:p w14:paraId="57BC5408" w14:textId="77777777" w:rsidR="003A05AE" w:rsidRDefault="003A05AE" w:rsidP="003A05AE">
      <w:pPr>
        <w:pStyle w:val="Heading1"/>
        <w:spacing w:after="180"/>
        <w:ind w:left="355"/>
      </w:pPr>
      <w:r>
        <w:t xml:space="preserve">Definitions </w:t>
      </w:r>
    </w:p>
    <w:p w14:paraId="232959F6" w14:textId="3E87513F" w:rsid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Authorized Vendor</w:t>
      </w:r>
      <w:r w:rsidRPr="00183630">
        <w:rPr>
          <w:rFonts w:eastAsia="Times New Roman"/>
          <w:color w:val="232323"/>
          <w:szCs w:val="27"/>
        </w:rPr>
        <w:t>: a PCI</w:t>
      </w:r>
      <w:r w:rsidR="00BB399D">
        <w:rPr>
          <w:rFonts w:eastAsia="Times New Roman"/>
          <w:color w:val="232323"/>
          <w:szCs w:val="27"/>
        </w:rPr>
        <w:t xml:space="preserve"> </w:t>
      </w:r>
      <w:r w:rsidRPr="00183630">
        <w:rPr>
          <w:rFonts w:eastAsia="Times New Roman"/>
          <w:color w:val="232323"/>
          <w:szCs w:val="27"/>
        </w:rPr>
        <w:t>DSS-compliant vendor</w:t>
      </w:r>
      <w:r>
        <w:rPr>
          <w:rFonts w:eastAsia="Times New Roman"/>
          <w:color w:val="232323"/>
          <w:szCs w:val="27"/>
        </w:rPr>
        <w:t>.</w:t>
      </w:r>
      <w:r w:rsidRPr="00183630">
        <w:rPr>
          <w:rFonts w:eastAsia="Times New Roman"/>
          <w:color w:val="232323"/>
          <w:szCs w:val="27"/>
        </w:rPr>
        <w:t xml:space="preserve"> </w:t>
      </w:r>
    </w:p>
    <w:p w14:paraId="58F0F2FB"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p>
    <w:p w14:paraId="046CED44" w14:textId="0BE05E89" w:rsid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Cardholder Data</w:t>
      </w:r>
      <w:r w:rsidRPr="00183630">
        <w:rPr>
          <w:rFonts w:eastAsia="Times New Roman"/>
          <w:color w:val="232323"/>
          <w:szCs w:val="27"/>
        </w:rPr>
        <w:t>: payment card components that are required to be protected, including primary account number, cardholder name, expiration date, service code, card verification code, full magnetic strip data and PIN.</w:t>
      </w:r>
    </w:p>
    <w:p w14:paraId="399773AE"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p>
    <w:p w14:paraId="61D6F456" w14:textId="023D9FC0" w:rsid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E-commerce</w:t>
      </w:r>
      <w:r w:rsidRPr="00183630">
        <w:rPr>
          <w:rFonts w:eastAsia="Times New Roman"/>
          <w:color w:val="232323"/>
          <w:szCs w:val="27"/>
        </w:rPr>
        <w:t>: buying and selling of products or services over the Internet.</w:t>
      </w:r>
    </w:p>
    <w:p w14:paraId="11262B72"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p>
    <w:p w14:paraId="0E686EA6" w14:textId="005D6BB8" w:rsid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Merchant</w:t>
      </w:r>
      <w:r w:rsidRPr="00183630">
        <w:rPr>
          <w:rFonts w:eastAsia="Times New Roman"/>
          <w:color w:val="232323"/>
          <w:szCs w:val="27"/>
        </w:rPr>
        <w:t>: an entity that accepts payment cards for goods and services.</w:t>
      </w:r>
    </w:p>
    <w:p w14:paraId="1AFA17E9"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p>
    <w:p w14:paraId="04E92593" w14:textId="0774039E" w:rsid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Payment Card</w:t>
      </w:r>
      <w:r w:rsidRPr="00183630">
        <w:rPr>
          <w:rFonts w:eastAsia="Times New Roman"/>
          <w:color w:val="232323"/>
          <w:szCs w:val="27"/>
        </w:rPr>
        <w:t>: includes both credit cards and debit cards.</w:t>
      </w:r>
    </w:p>
    <w:p w14:paraId="08BB6838"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p>
    <w:p w14:paraId="7F533DB5" w14:textId="759CF73A" w:rsid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PCI</w:t>
      </w:r>
      <w:r w:rsidR="00BB399D">
        <w:rPr>
          <w:rFonts w:eastAsia="Times New Roman"/>
          <w:b/>
          <w:color w:val="232323"/>
          <w:szCs w:val="27"/>
        </w:rPr>
        <w:t xml:space="preserve"> </w:t>
      </w:r>
      <w:r w:rsidRPr="00183630">
        <w:rPr>
          <w:rFonts w:eastAsia="Times New Roman"/>
          <w:b/>
          <w:color w:val="232323"/>
          <w:szCs w:val="27"/>
        </w:rPr>
        <w:t>DSS</w:t>
      </w:r>
      <w:r w:rsidRPr="00183630">
        <w:rPr>
          <w:rFonts w:eastAsia="Times New Roman"/>
          <w:color w:val="232323"/>
          <w:szCs w:val="27"/>
        </w:rPr>
        <w:t>: The Payment Card Industry Data Security Standards are policies and procedures mandated by the major card companies (MasterCard, Visa, American Express, Discover and JCB) and intended to optimize the security of card transactions and protect cardholders against misuse of their personal information.</w:t>
      </w:r>
    </w:p>
    <w:p w14:paraId="61299899"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p>
    <w:p w14:paraId="377349A2" w14:textId="13D0189A" w:rsid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Self-Assessment Questionnaire (SAQ)</w:t>
      </w:r>
      <w:r w:rsidRPr="00183630">
        <w:rPr>
          <w:rFonts w:eastAsia="Times New Roman"/>
          <w:color w:val="232323"/>
          <w:szCs w:val="27"/>
        </w:rPr>
        <w:t>: A questionnaire merchants are required by PCIDSS to complete annually to validate their compliance with PCIDSS.</w:t>
      </w:r>
    </w:p>
    <w:p w14:paraId="314C7874"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p>
    <w:p w14:paraId="5CDC8F83" w14:textId="77777777" w:rsidR="00183630" w:rsidRPr="00183630" w:rsidRDefault="00183630" w:rsidP="00183630">
      <w:pPr>
        <w:shd w:val="clear" w:color="auto" w:fill="FFFFFF"/>
        <w:spacing w:after="0" w:line="240" w:lineRule="auto"/>
        <w:ind w:left="360" w:right="0" w:firstLine="0"/>
        <w:rPr>
          <w:rFonts w:eastAsia="Times New Roman"/>
          <w:color w:val="232323"/>
          <w:szCs w:val="27"/>
        </w:rPr>
      </w:pPr>
      <w:r w:rsidRPr="00183630">
        <w:rPr>
          <w:rFonts w:eastAsia="Times New Roman"/>
          <w:b/>
          <w:color w:val="232323"/>
          <w:szCs w:val="27"/>
        </w:rPr>
        <w:t>Third Party Processor</w:t>
      </w:r>
      <w:r w:rsidRPr="00183630">
        <w:rPr>
          <w:rFonts w:eastAsia="Times New Roman"/>
          <w:color w:val="232323"/>
          <w:szCs w:val="27"/>
        </w:rPr>
        <w:t>: an entity to which credit card transactions are outsourced by the University for processing. Third parties are contractually required to adhere to PCIDSS requirement and acknowledge they are responsible for security of cardholder data.</w:t>
      </w:r>
    </w:p>
    <w:p w14:paraId="70D4B3EE" w14:textId="798CDC6D" w:rsidR="008F3A61" w:rsidRPr="000E3621" w:rsidRDefault="008F3A61" w:rsidP="000E3621">
      <w:pPr>
        <w:spacing w:after="160" w:line="259" w:lineRule="auto"/>
        <w:ind w:left="0" w:right="0" w:firstLine="0"/>
        <w:rPr>
          <w:szCs w:val="27"/>
        </w:rPr>
      </w:pPr>
    </w:p>
    <w:sectPr w:rsidR="008F3A61" w:rsidRPr="000E3621" w:rsidSect="001D2047">
      <w:headerReference w:type="even" r:id="rId11"/>
      <w:headerReference w:type="default" r:id="rId12"/>
      <w:headerReference w:type="first" r:id="rId13"/>
      <w:pgSz w:w="12240" w:h="15840"/>
      <w:pgMar w:top="1530" w:right="1166" w:bottom="720" w:left="1080" w:header="8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BB06" w14:textId="77777777" w:rsidR="0002531E" w:rsidRDefault="0002531E">
      <w:pPr>
        <w:spacing w:after="0" w:line="240" w:lineRule="auto"/>
      </w:pPr>
      <w:r>
        <w:separator/>
      </w:r>
    </w:p>
  </w:endnote>
  <w:endnote w:type="continuationSeparator" w:id="0">
    <w:p w14:paraId="2C0BB4B2" w14:textId="77777777" w:rsidR="0002531E" w:rsidRDefault="0002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4021" w14:textId="77777777" w:rsidR="0002531E" w:rsidRDefault="0002531E">
      <w:pPr>
        <w:spacing w:after="0" w:line="240" w:lineRule="auto"/>
      </w:pPr>
      <w:r>
        <w:separator/>
      </w:r>
    </w:p>
  </w:footnote>
  <w:footnote w:type="continuationSeparator" w:id="0">
    <w:p w14:paraId="386F7084" w14:textId="77777777" w:rsidR="0002531E" w:rsidRDefault="0002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639B" w14:textId="77777777" w:rsidR="000034F7" w:rsidRDefault="00200587">
    <w:pPr>
      <w:spacing w:after="0" w:line="293" w:lineRule="auto"/>
      <w:ind w:left="402" w:right="208" w:firstLine="0"/>
      <w:jc w:val="center"/>
    </w:pPr>
    <w:r>
      <w:rPr>
        <w:color w:val="333333"/>
        <w:sz w:val="40"/>
      </w:rPr>
      <w:t xml:space="preserve">Policy on Entering </w:t>
    </w:r>
    <w:proofErr w:type="gramStart"/>
    <w:r>
      <w:rPr>
        <w:color w:val="333333"/>
        <w:sz w:val="40"/>
      </w:rPr>
      <w:t>Into</w:t>
    </w:r>
    <w:proofErr w:type="gramEnd"/>
    <w:r>
      <w:rPr>
        <w:color w:val="333333"/>
        <w:sz w:val="40"/>
      </w:rPr>
      <w:t xml:space="preserve"> Contracts For Procurement of Goods and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3D0B" w14:textId="64D50E9B" w:rsidR="000034F7" w:rsidRDefault="00DB0653">
    <w:pPr>
      <w:spacing w:after="0" w:line="293" w:lineRule="auto"/>
      <w:ind w:left="402" w:right="208" w:firstLine="0"/>
      <w:jc w:val="center"/>
    </w:pPr>
    <w:r>
      <w:rPr>
        <w:color w:val="333333"/>
        <w:sz w:val="40"/>
      </w:rPr>
      <w:t>Policy on Accepting Credit Cards</w:t>
    </w:r>
    <w:r w:rsidR="00200587">
      <w:rPr>
        <w:color w:val="333333"/>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BDC" w14:textId="77777777" w:rsidR="000034F7" w:rsidRDefault="00200587">
    <w:pPr>
      <w:spacing w:after="0" w:line="293" w:lineRule="auto"/>
      <w:ind w:left="402" w:right="208" w:firstLine="0"/>
      <w:jc w:val="center"/>
    </w:pPr>
    <w:r>
      <w:rPr>
        <w:color w:val="333333"/>
        <w:sz w:val="40"/>
      </w:rPr>
      <w:t xml:space="preserve">Policy on Entering </w:t>
    </w:r>
    <w:proofErr w:type="gramStart"/>
    <w:r>
      <w:rPr>
        <w:color w:val="333333"/>
        <w:sz w:val="40"/>
      </w:rPr>
      <w:t>Into</w:t>
    </w:r>
    <w:proofErr w:type="gramEnd"/>
    <w:r>
      <w:rPr>
        <w:color w:val="333333"/>
        <w:sz w:val="40"/>
      </w:rPr>
      <w:t xml:space="preserve"> Contracts For Procurement of Goods and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A81D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B053A8"/>
    <w:multiLevelType w:val="multilevel"/>
    <w:tmpl w:val="2E106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76A39"/>
    <w:multiLevelType w:val="multilevel"/>
    <w:tmpl w:val="C84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9676B"/>
    <w:multiLevelType w:val="hybridMultilevel"/>
    <w:tmpl w:val="9D042A14"/>
    <w:lvl w:ilvl="0" w:tplc="54221D52">
      <w:start w:val="1"/>
      <w:numFmt w:val="decimal"/>
      <w:lvlText w:val="%1."/>
      <w:lvlJc w:val="left"/>
      <w:pPr>
        <w:ind w:left="10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1D28D616">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A6300812">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0652E6B6">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754C4426">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AE68B54">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AC70C338">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288C39E">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1DC45076">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7EAD7E0D"/>
    <w:multiLevelType w:val="multilevel"/>
    <w:tmpl w:val="03D8E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1248023">
    <w:abstractNumId w:val="3"/>
  </w:num>
  <w:num w:numId="2" w16cid:durableId="1464273494">
    <w:abstractNumId w:val="0"/>
  </w:num>
  <w:num w:numId="3" w16cid:durableId="1979872139">
    <w:abstractNumId w:val="4"/>
  </w:num>
  <w:num w:numId="4" w16cid:durableId="767966536">
    <w:abstractNumId w:val="2"/>
  </w:num>
  <w:num w:numId="5" w16cid:durableId="143493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F7"/>
    <w:rsid w:val="000034F7"/>
    <w:rsid w:val="00006E60"/>
    <w:rsid w:val="0002531E"/>
    <w:rsid w:val="00070899"/>
    <w:rsid w:val="00087F9F"/>
    <w:rsid w:val="00091AC2"/>
    <w:rsid w:val="000E3621"/>
    <w:rsid w:val="00131CA8"/>
    <w:rsid w:val="00175182"/>
    <w:rsid w:val="00183630"/>
    <w:rsid w:val="001D2047"/>
    <w:rsid w:val="001F3092"/>
    <w:rsid w:val="00200587"/>
    <w:rsid w:val="00236B8D"/>
    <w:rsid w:val="0024447C"/>
    <w:rsid w:val="00252E0D"/>
    <w:rsid w:val="00261D8B"/>
    <w:rsid w:val="00271967"/>
    <w:rsid w:val="002A1EB5"/>
    <w:rsid w:val="00373724"/>
    <w:rsid w:val="003A05AE"/>
    <w:rsid w:val="003B61F8"/>
    <w:rsid w:val="003F5892"/>
    <w:rsid w:val="00435B17"/>
    <w:rsid w:val="004B4673"/>
    <w:rsid w:val="004D4C28"/>
    <w:rsid w:val="004F593D"/>
    <w:rsid w:val="00560BF4"/>
    <w:rsid w:val="005A591D"/>
    <w:rsid w:val="005E68D8"/>
    <w:rsid w:val="005F12DA"/>
    <w:rsid w:val="005F4CD4"/>
    <w:rsid w:val="00615D61"/>
    <w:rsid w:val="006270BB"/>
    <w:rsid w:val="006326C7"/>
    <w:rsid w:val="006A6BD6"/>
    <w:rsid w:val="006D0585"/>
    <w:rsid w:val="006D30E2"/>
    <w:rsid w:val="007500E3"/>
    <w:rsid w:val="007C0CF4"/>
    <w:rsid w:val="007C5448"/>
    <w:rsid w:val="007E1854"/>
    <w:rsid w:val="0081216B"/>
    <w:rsid w:val="0083661B"/>
    <w:rsid w:val="008A780D"/>
    <w:rsid w:val="008C22A5"/>
    <w:rsid w:val="008D320D"/>
    <w:rsid w:val="008F3A61"/>
    <w:rsid w:val="0091093B"/>
    <w:rsid w:val="00931704"/>
    <w:rsid w:val="00985BCD"/>
    <w:rsid w:val="009C6B0C"/>
    <w:rsid w:val="009D554D"/>
    <w:rsid w:val="00A01FD1"/>
    <w:rsid w:val="00AA0187"/>
    <w:rsid w:val="00AC675F"/>
    <w:rsid w:val="00B011D0"/>
    <w:rsid w:val="00B217EE"/>
    <w:rsid w:val="00B901FB"/>
    <w:rsid w:val="00BB0D47"/>
    <w:rsid w:val="00BB399D"/>
    <w:rsid w:val="00BB3D3B"/>
    <w:rsid w:val="00BF04B1"/>
    <w:rsid w:val="00C054E0"/>
    <w:rsid w:val="00C2648F"/>
    <w:rsid w:val="00C7194F"/>
    <w:rsid w:val="00CB72FE"/>
    <w:rsid w:val="00CE662C"/>
    <w:rsid w:val="00D33C15"/>
    <w:rsid w:val="00D35828"/>
    <w:rsid w:val="00D46741"/>
    <w:rsid w:val="00D57E8C"/>
    <w:rsid w:val="00D8215C"/>
    <w:rsid w:val="00D82909"/>
    <w:rsid w:val="00DB0653"/>
    <w:rsid w:val="00DC689F"/>
    <w:rsid w:val="00DE3F2F"/>
    <w:rsid w:val="00E24104"/>
    <w:rsid w:val="00E44111"/>
    <w:rsid w:val="00E4781F"/>
    <w:rsid w:val="00E83D47"/>
    <w:rsid w:val="00EA1EE3"/>
    <w:rsid w:val="00EC3C0A"/>
    <w:rsid w:val="00EF2129"/>
    <w:rsid w:val="00F007F0"/>
    <w:rsid w:val="00F461DA"/>
    <w:rsid w:val="00F77621"/>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8AFC"/>
  <w15:docId w15:val="{E12C855F-8F1E-4755-9C60-3FE2904E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370" w:right="201" w:hanging="10"/>
    </w:pPr>
    <w:rPr>
      <w:rFonts w:ascii="Arial" w:eastAsia="Arial" w:hAnsi="Arial" w:cs="Arial"/>
      <w:color w:val="000000"/>
      <w:sz w:val="27"/>
    </w:rPr>
  </w:style>
  <w:style w:type="paragraph" w:styleId="Heading1">
    <w:name w:val="heading 1"/>
    <w:next w:val="Normal"/>
    <w:link w:val="Heading1Char"/>
    <w:uiPriority w:val="9"/>
    <w:unhideWhenUsed/>
    <w:qFormat/>
    <w:pPr>
      <w:keepNext/>
      <w:keepLines/>
      <w:spacing w:after="95"/>
      <w:ind w:left="370" w:hanging="10"/>
      <w:outlineLvl w:val="0"/>
    </w:pPr>
    <w:rPr>
      <w:rFonts w:ascii="Arial" w:eastAsia="Arial" w:hAnsi="Arial" w:cs="Arial"/>
      <w:color w:val="7A0019"/>
      <w:sz w:val="42"/>
    </w:rPr>
  </w:style>
  <w:style w:type="paragraph" w:styleId="Heading2">
    <w:name w:val="heading 2"/>
    <w:next w:val="Normal"/>
    <w:link w:val="Heading2Char"/>
    <w:uiPriority w:val="9"/>
    <w:unhideWhenUsed/>
    <w:qFormat/>
    <w:pPr>
      <w:keepNext/>
      <w:keepLines/>
      <w:spacing w:after="193"/>
      <w:ind w:left="370" w:hanging="10"/>
      <w:outlineLvl w:val="1"/>
    </w:pPr>
    <w:rPr>
      <w:rFonts w:ascii="Arial" w:eastAsia="Arial" w:hAnsi="Arial" w:cs="Arial"/>
      <w:color w:val="333333"/>
      <w:sz w:val="33"/>
    </w:rPr>
  </w:style>
  <w:style w:type="paragraph" w:styleId="Heading3">
    <w:name w:val="heading 3"/>
    <w:next w:val="Normal"/>
    <w:link w:val="Heading3Char"/>
    <w:uiPriority w:val="9"/>
    <w:unhideWhenUsed/>
    <w:qFormat/>
    <w:pPr>
      <w:keepNext/>
      <w:keepLines/>
      <w:spacing w:after="0"/>
      <w:ind w:left="85"/>
      <w:jc w:val="center"/>
      <w:outlineLvl w:val="2"/>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8"/>
    </w:rPr>
  </w:style>
  <w:style w:type="character" w:customStyle="1" w:styleId="Heading2Char">
    <w:name w:val="Heading 2 Char"/>
    <w:link w:val="Heading2"/>
    <w:rPr>
      <w:rFonts w:ascii="Arial" w:eastAsia="Arial" w:hAnsi="Arial" w:cs="Arial"/>
      <w:color w:val="333333"/>
      <w:sz w:val="33"/>
    </w:rPr>
  </w:style>
  <w:style w:type="character" w:customStyle="1" w:styleId="Heading1Char">
    <w:name w:val="Heading 1 Char"/>
    <w:link w:val="Heading1"/>
    <w:rPr>
      <w:rFonts w:ascii="Arial" w:eastAsia="Arial" w:hAnsi="Arial" w:cs="Arial"/>
      <w:color w:val="7A0019"/>
      <w:sz w:val="4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04B1"/>
    <w:rPr>
      <w:sz w:val="16"/>
      <w:szCs w:val="16"/>
    </w:rPr>
  </w:style>
  <w:style w:type="paragraph" w:styleId="CommentText">
    <w:name w:val="annotation text"/>
    <w:basedOn w:val="Normal"/>
    <w:link w:val="CommentTextChar"/>
    <w:uiPriority w:val="99"/>
    <w:unhideWhenUsed/>
    <w:rsid w:val="00BF04B1"/>
    <w:pPr>
      <w:spacing w:line="240" w:lineRule="auto"/>
    </w:pPr>
    <w:rPr>
      <w:sz w:val="20"/>
      <w:szCs w:val="20"/>
    </w:rPr>
  </w:style>
  <w:style w:type="character" w:customStyle="1" w:styleId="CommentTextChar">
    <w:name w:val="Comment Text Char"/>
    <w:basedOn w:val="DefaultParagraphFont"/>
    <w:link w:val="CommentText"/>
    <w:uiPriority w:val="99"/>
    <w:rsid w:val="00BF04B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F04B1"/>
    <w:rPr>
      <w:b/>
      <w:bCs/>
    </w:rPr>
  </w:style>
  <w:style w:type="character" w:customStyle="1" w:styleId="CommentSubjectChar">
    <w:name w:val="Comment Subject Char"/>
    <w:basedOn w:val="CommentTextChar"/>
    <w:link w:val="CommentSubject"/>
    <w:uiPriority w:val="99"/>
    <w:semiHidden/>
    <w:rsid w:val="00BF04B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F0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B1"/>
    <w:rPr>
      <w:rFonts w:ascii="Segoe UI" w:eastAsia="Arial" w:hAnsi="Segoe UI" w:cs="Segoe UI"/>
      <w:color w:val="000000"/>
      <w:sz w:val="18"/>
      <w:szCs w:val="18"/>
    </w:rPr>
  </w:style>
  <w:style w:type="paragraph" w:styleId="ListParagraph">
    <w:name w:val="List Paragraph"/>
    <w:basedOn w:val="Normal"/>
    <w:uiPriority w:val="34"/>
    <w:qFormat/>
    <w:rsid w:val="00AC675F"/>
    <w:pPr>
      <w:ind w:left="720"/>
      <w:contextualSpacing/>
    </w:pPr>
  </w:style>
  <w:style w:type="paragraph" w:styleId="ListBullet">
    <w:name w:val="List Bullet"/>
    <w:basedOn w:val="Normal"/>
    <w:uiPriority w:val="9"/>
    <w:qFormat/>
    <w:rsid w:val="00B011D0"/>
    <w:pPr>
      <w:numPr>
        <w:numId w:val="2"/>
      </w:numPr>
      <w:spacing w:after="120" w:line="259" w:lineRule="auto"/>
      <w:ind w:right="0"/>
    </w:pPr>
    <w:rPr>
      <w:rFonts w:asciiTheme="minorHAnsi" w:eastAsiaTheme="minorHAnsi" w:hAnsiTheme="minorHAnsi" w:cstheme="minorBidi"/>
      <w:color w:val="595959" w:themeColor="text1" w:themeTint="A6"/>
      <w:sz w:val="30"/>
      <w:szCs w:val="30"/>
    </w:rPr>
  </w:style>
  <w:style w:type="table" w:styleId="TableGrid0">
    <w:name w:val="Table Grid"/>
    <w:basedOn w:val="TableNormal"/>
    <w:uiPriority w:val="39"/>
    <w:rsid w:val="00B011D0"/>
    <w:pPr>
      <w:spacing w:after="0" w:line="240" w:lineRule="auto"/>
    </w:pPr>
    <w:rPr>
      <w:rFonts w:eastAsiaTheme="minorHAnsi"/>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B011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1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2DA"/>
    <w:rPr>
      <w:rFonts w:ascii="Arial" w:eastAsia="Arial" w:hAnsi="Arial" w:cs="Arial"/>
      <w:color w:val="000000"/>
      <w:sz w:val="27"/>
    </w:rPr>
  </w:style>
  <w:style w:type="character" w:styleId="Hyperlink">
    <w:name w:val="Hyperlink"/>
    <w:basedOn w:val="DefaultParagraphFont"/>
    <w:uiPriority w:val="99"/>
    <w:unhideWhenUsed/>
    <w:rsid w:val="00F007F0"/>
    <w:rPr>
      <w:color w:val="0563C1" w:themeColor="hyperlink"/>
      <w:u w:val="single"/>
    </w:rPr>
  </w:style>
  <w:style w:type="paragraph" w:styleId="NormalWeb">
    <w:name w:val="Normal (Web)"/>
    <w:basedOn w:val="Normal"/>
    <w:uiPriority w:val="99"/>
    <w:semiHidden/>
    <w:unhideWhenUsed/>
    <w:rsid w:val="006D30E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B3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573">
      <w:bodyDiv w:val="1"/>
      <w:marLeft w:val="0"/>
      <w:marRight w:val="0"/>
      <w:marTop w:val="0"/>
      <w:marBottom w:val="0"/>
      <w:divBdr>
        <w:top w:val="none" w:sz="0" w:space="0" w:color="auto"/>
        <w:left w:val="none" w:sz="0" w:space="0" w:color="auto"/>
        <w:bottom w:val="none" w:sz="0" w:space="0" w:color="auto"/>
        <w:right w:val="none" w:sz="0" w:space="0" w:color="auto"/>
      </w:divBdr>
    </w:div>
    <w:div w:id="810637531">
      <w:bodyDiv w:val="1"/>
      <w:marLeft w:val="0"/>
      <w:marRight w:val="0"/>
      <w:marTop w:val="0"/>
      <w:marBottom w:val="0"/>
      <w:divBdr>
        <w:top w:val="none" w:sz="0" w:space="0" w:color="auto"/>
        <w:left w:val="none" w:sz="0" w:space="0" w:color="auto"/>
        <w:bottom w:val="none" w:sz="0" w:space="0" w:color="auto"/>
        <w:right w:val="none" w:sz="0" w:space="0" w:color="auto"/>
      </w:divBdr>
    </w:div>
    <w:div w:id="1354842155">
      <w:bodyDiv w:val="1"/>
      <w:marLeft w:val="0"/>
      <w:marRight w:val="0"/>
      <w:marTop w:val="0"/>
      <w:marBottom w:val="0"/>
      <w:divBdr>
        <w:top w:val="none" w:sz="0" w:space="0" w:color="auto"/>
        <w:left w:val="none" w:sz="0" w:space="0" w:color="auto"/>
        <w:bottom w:val="none" w:sz="0" w:space="0" w:color="auto"/>
        <w:right w:val="none" w:sz="0" w:space="0" w:color="auto"/>
      </w:divBdr>
    </w:div>
    <w:div w:id="1418214545">
      <w:bodyDiv w:val="1"/>
      <w:marLeft w:val="0"/>
      <w:marRight w:val="0"/>
      <w:marTop w:val="0"/>
      <w:marBottom w:val="0"/>
      <w:divBdr>
        <w:top w:val="none" w:sz="0" w:space="0" w:color="auto"/>
        <w:left w:val="none" w:sz="0" w:space="0" w:color="auto"/>
        <w:bottom w:val="none" w:sz="0" w:space="0" w:color="auto"/>
        <w:right w:val="none" w:sz="0" w:space="0" w:color="auto"/>
      </w:divBdr>
    </w:div>
    <w:div w:id="1701978070">
      <w:bodyDiv w:val="1"/>
      <w:marLeft w:val="0"/>
      <w:marRight w:val="0"/>
      <w:marTop w:val="0"/>
      <w:marBottom w:val="0"/>
      <w:divBdr>
        <w:top w:val="none" w:sz="0" w:space="0" w:color="auto"/>
        <w:left w:val="none" w:sz="0" w:space="0" w:color="auto"/>
        <w:bottom w:val="none" w:sz="0" w:space="0" w:color="auto"/>
        <w:right w:val="none" w:sz="0" w:space="0" w:color="auto"/>
      </w:divBdr>
    </w:div>
    <w:div w:id="1833985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B39EFA3CC4BA42843CBFAAD023BFE8" ma:contentTypeVersion="11" ma:contentTypeDescription="Create a new document." ma:contentTypeScope="" ma:versionID="60c563c819136012b3edd2659386d2e6">
  <xsd:schema xmlns:xsd="http://www.w3.org/2001/XMLSchema" xmlns:xs="http://www.w3.org/2001/XMLSchema" xmlns:p="http://schemas.microsoft.com/office/2006/metadata/properties" xmlns:ns3="1a458c6e-db56-47e9-a7b4-21a0602f6063" xmlns:ns4="b673a39c-cb90-42f3-87eb-1429b95cb9a1" targetNamespace="http://schemas.microsoft.com/office/2006/metadata/properties" ma:root="true" ma:fieldsID="ddd80785136869a04f8ff5b42a38fc12" ns3:_="" ns4:_="">
    <xsd:import namespace="1a458c6e-db56-47e9-a7b4-21a0602f6063"/>
    <xsd:import namespace="b673a39c-cb90-42f3-87eb-1429b95cb9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58c6e-db56-47e9-a7b4-21a0602f6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3a39c-cb90-42f3-87eb-1429b95cb9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9B119-61B8-428F-B8AD-C2C7914E8934}">
  <ds:schemaRefs>
    <ds:schemaRef ds:uri="http://schemas.openxmlformats.org/officeDocument/2006/bibliography"/>
  </ds:schemaRefs>
</ds:datastoreItem>
</file>

<file path=customXml/itemProps2.xml><?xml version="1.0" encoding="utf-8"?>
<ds:datastoreItem xmlns:ds="http://schemas.openxmlformats.org/officeDocument/2006/customXml" ds:itemID="{AAC310FE-FC5F-4C17-9503-6F4C69D53D45}">
  <ds:schemaRefs>
    <ds:schemaRef ds:uri="http://purl.org/dc/elements/1.1/"/>
    <ds:schemaRef ds:uri="http://schemas.microsoft.com/office/2006/metadata/properties"/>
    <ds:schemaRef ds:uri="b673a39c-cb90-42f3-87eb-1429b95cb9a1"/>
    <ds:schemaRef ds:uri="http://purl.org/dc/terms/"/>
    <ds:schemaRef ds:uri="http://schemas.microsoft.com/office/2006/documentManagement/types"/>
    <ds:schemaRef ds:uri="http://schemas.microsoft.com/office/infopath/2007/PartnerControls"/>
    <ds:schemaRef ds:uri="1a458c6e-db56-47e9-a7b4-21a0602f60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916E14-6468-4D80-B8BE-92605B2F5F57}">
  <ds:schemaRefs>
    <ds:schemaRef ds:uri="http://schemas.microsoft.com/sharepoint/v3/contenttype/forms"/>
  </ds:schemaRefs>
</ds:datastoreItem>
</file>

<file path=customXml/itemProps4.xml><?xml version="1.0" encoding="utf-8"?>
<ds:datastoreItem xmlns:ds="http://schemas.openxmlformats.org/officeDocument/2006/customXml" ds:itemID="{6D60F4A7-A972-4CD3-8D34-AA36EB01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58c6e-db56-47e9-a7b4-21a0602f6063"/>
    <ds:schemaRef ds:uri="b673a39c-cb90-42f3-87eb-1429b95c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Ann</dc:creator>
  <cp:keywords/>
  <cp:lastModifiedBy>Harte, Ann</cp:lastModifiedBy>
  <cp:revision>2</cp:revision>
  <dcterms:created xsi:type="dcterms:W3CDTF">2022-07-12T13:32:00Z</dcterms:created>
  <dcterms:modified xsi:type="dcterms:W3CDTF">2022-07-12T13:32:00Z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0x010100B8B39EFA3CC4BA42843CBFAAD023BFE8</vt:lpwstr>
  </property>
</Properties>
</file>